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2F86">
      <w:pPr>
        <w:keepLines/>
        <w:jc w:val="both"/>
        <w:rPr>
          <w:sz w:val="20"/>
          <w:szCs w:val="20"/>
        </w:rPr>
      </w:pPr>
      <w:bookmarkStart w:id="0" w:name="_GoBack"/>
      <w:bookmarkEnd w:id="0"/>
    </w:p>
    <w:p w:rsidR="00000000" w:rsidRDefault="00772F86">
      <w:pPr>
        <w:keepLines/>
        <w:jc w:val="both"/>
        <w:rPr>
          <w:sz w:val="20"/>
          <w:szCs w:val="20"/>
        </w:rPr>
      </w:pPr>
    </w:p>
    <w:p w:rsidR="00000000" w:rsidRDefault="00772F86">
      <w:pPr>
        <w:keepLines/>
        <w:jc w:val="both"/>
        <w:rPr>
          <w:sz w:val="20"/>
          <w:szCs w:val="20"/>
        </w:rPr>
      </w:pPr>
    </w:p>
    <w:p w:rsidR="00000000" w:rsidRDefault="00772F86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Staccato222 BT" w:hAnsi="Staccato222 BT" w:cs="Staccato222 BT"/>
          <w:b/>
          <w:bCs/>
          <w:color w:val="000000"/>
          <w:sz w:val="36"/>
          <w:szCs w:val="36"/>
        </w:rPr>
      </w:pPr>
    </w:p>
    <w:p w:rsidR="00000000" w:rsidRDefault="00772F86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ypoUpright BT" w:hAnsi="TypoUpright BT" w:cs="TypoUpright BT"/>
          <w:b/>
          <w:bCs/>
          <w:color w:val="000000"/>
          <w:sz w:val="44"/>
          <w:szCs w:val="44"/>
        </w:rPr>
      </w:pPr>
      <w:r>
        <w:rPr>
          <w:rFonts w:ascii="TypoUpright BT" w:hAnsi="TypoUpright BT" w:cs="TypoUpright BT"/>
          <w:b/>
          <w:bCs/>
          <w:color w:val="000000"/>
          <w:sz w:val="44"/>
          <w:szCs w:val="44"/>
        </w:rPr>
        <w:t>Regolamento Comunale disciplinante l’accertamento e l’applicazione delle sanzioni amministrative per le violazione ai Regolamenti Comunali, alle Ordinanze del Sindaco ed a quelle  dei Dirigenti/Responsabili di Settore.</w:t>
      </w:r>
    </w:p>
    <w:p w:rsidR="00000000" w:rsidRDefault="00772F86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Staccato222 BT" w:hAnsi="Staccato222 BT" w:cs="Staccato222 BT"/>
          <w:b/>
          <w:bCs/>
          <w:color w:val="000000"/>
          <w:sz w:val="36"/>
          <w:szCs w:val="36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1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(Oggetto del reg</w:t>
      </w:r>
      <w:r>
        <w:rPr>
          <w:b/>
          <w:bCs/>
          <w:i/>
          <w:iCs/>
          <w:color w:val="000000"/>
          <w:sz w:val="20"/>
          <w:szCs w:val="20"/>
        </w:rPr>
        <w:t>olamento)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il presente regolamento, ai sensi e per gli effetti previsti dall’articolo 77 del vigente Statuto Comunale, si disciplinano le modalità di accertamento e l’applicazione delle sanzioni amministrative pecuniarie per le violazioni ai regolament</w:t>
      </w:r>
      <w:r>
        <w:rPr>
          <w:color w:val="000000"/>
          <w:sz w:val="20"/>
          <w:szCs w:val="20"/>
        </w:rPr>
        <w:t>i comunali, alle ordinanze del sindaco e dei dirigenti/responsabili di settore del comune, salvo che sia diversamente ed esplicitamente stabilito.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E’ fatta salva ogni altra previsione sanzionatoria consistente in procedure esecutive aventi per contenuto u</w:t>
      </w:r>
      <w:r>
        <w:rPr>
          <w:color w:val="000000"/>
          <w:sz w:val="20"/>
          <w:szCs w:val="20"/>
        </w:rPr>
        <w:t>n fare specifico, attivabili anche d’ufficio con clausola esecutoria.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Rimane altresì impregiudicata l’applicazione, da parte della competente Autorità giudiziaria, delle vigenti sanzioni di carattere penale (articolo 650 del C. P.) relative alle ordinanze</w:t>
      </w:r>
      <w:r>
        <w:rPr>
          <w:color w:val="000000"/>
          <w:sz w:val="20"/>
          <w:szCs w:val="20"/>
        </w:rPr>
        <w:t xml:space="preserve"> contingibili ed urgenti.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disposizioni contenute nel presente regolamento sono volte ad assicurare piena efficienza ed efficacia alle attività inerenti l’accertamento e l’applicazione delle sanzioni amministrative pecuniarie di competenza del comune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A</w:t>
      </w:r>
      <w:r>
        <w:rPr>
          <w:color w:val="000000"/>
          <w:sz w:val="20"/>
          <w:szCs w:val="20"/>
          <w:highlight w:val="yellow"/>
        </w:rPr>
        <w:t xml:space="preserve"> seguito di esplicita previsione regolamentare locale possono essere previste specifiche sanzioni accessorie interdittive, ovvero obblighi di “facere” di vario tipo, entrambe sempre strettamente legati alla violazione commessa, alternative o suppletive all</w:t>
      </w:r>
      <w:r>
        <w:rPr>
          <w:color w:val="000000"/>
          <w:sz w:val="20"/>
          <w:szCs w:val="20"/>
          <w:highlight w:val="yellow"/>
        </w:rPr>
        <w:t>a sanzione pecuniaria principale, decretate d’ufficio, ovvero a richiesta dell’autore della violazione o dell’obbligato in solido.</w:t>
      </w:r>
      <w:r>
        <w:rPr>
          <w:color w:val="000000"/>
          <w:sz w:val="20"/>
          <w:szCs w:val="20"/>
        </w:rPr>
        <w:t xml:space="preserve"> 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presenti procedure sanzionatorie non si applicano alle violazioni disciplinari.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2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 Definizioni 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Quando in </w:t>
      </w:r>
      <w:r>
        <w:rPr>
          <w:color w:val="000000"/>
          <w:sz w:val="20"/>
          <w:szCs w:val="20"/>
        </w:rPr>
        <w:t>questo regolamento si usano genericamente i termini ordinanze o ordinanze comunali si devono intendere sia le ordinanze emesse personalmente dal sindaco che quelle emesse dai dirigenti o dai responsabili di settore.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dirigenti ed i responsabili di settor</w:t>
      </w:r>
      <w:r>
        <w:rPr>
          <w:color w:val="000000"/>
          <w:sz w:val="20"/>
          <w:szCs w:val="20"/>
        </w:rPr>
        <w:t>e con potere di emissione di ordinanza sono identificati con apposito decreto del sindaco.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Quando in questo regolamento si vogliono indicare le ordinanze ingiunzione, ovvero le ordinanze di archiviazione degli atti, è detto esplicitamente.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Articolo </w:t>
      </w:r>
      <w:r>
        <w:rPr>
          <w:b/>
          <w:bCs/>
          <w:i/>
          <w:iCs/>
          <w:color w:val="000000"/>
          <w:sz w:val="20"/>
          <w:szCs w:val="20"/>
        </w:rPr>
        <w:t>3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(Applicazione delle sanzioni amministrative pecuniarie)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Alle violazioni delle norme disciplinate da regolamenti e ordinanze comunali, per le quali non siano prestabilite sanzioni amministrative previste da specifiche disposizioni di Legge, si applica l</w:t>
      </w:r>
      <w:r>
        <w:rPr>
          <w:color w:val="000000"/>
        </w:rPr>
        <w:t>a sanzione amministrativa pecuniaria indicata nell’articolo 7 bis del D. Lgs. 18 agosto 2000 n° 267, come introdotto dalla Legge 16 gennaio 2003 n° 3 ed integrato dalla legge 20 maggio 2003 n° 116, che prevede il pagamento di una somma in denaro da euro 25</w:t>
      </w:r>
      <w:r>
        <w:rPr>
          <w:color w:val="000000"/>
        </w:rPr>
        <w:t>,00 (venticinque/00) ad euro 500,00 (cinquecento/00); nell'ambito delle materie di competenza legislativa regionale, salvo diversa disposizione di legge, ai sensi del comma 3 dell’articolo 8 della Legge Regionale 24 marzo 2004 n° 6 i limiti edittali sono r</w:t>
      </w:r>
      <w:r>
        <w:rPr>
          <w:color w:val="000000"/>
        </w:rPr>
        <w:t>icompresi tra euro 25,00 ( venticinque/00) ed euro 10.000,00 (diecimila/00).</w:t>
      </w:r>
    </w:p>
    <w:p w:rsidR="00000000" w:rsidRDefault="00772F86">
      <w:pPr>
        <w:pStyle w:val="Corpotesto"/>
        <w:rPr>
          <w:color w:val="00000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Ciascun regolamento e ciascuna ordinanza comunale emesso/a successivamente all’entrata in vigore del presente regolamento dovrà indicare, in modo esplicito, l’importo della sanzi</w:t>
      </w:r>
      <w:r>
        <w:rPr>
          <w:color w:val="000000"/>
        </w:rPr>
        <w:t>one per la sua violazione e l’Autorità competente ad emettere l’ordinanza ingiunzione o di archiviazione, nonché a ricevere eventuali scritti difensivi ed a sentire il trasgressore avverso il verbale di accertamento della violazione.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Nelle singole ipotesi</w:t>
      </w:r>
      <w:r>
        <w:rPr>
          <w:color w:val="000000"/>
          <w:sz w:val="20"/>
          <w:szCs w:val="20"/>
        </w:rPr>
        <w:t xml:space="preserve"> sanzionatorie, che devono sempre prevedere una sanzione amministrativa pecuniaria graduata tra un minimo ed un massimo, il rapporto tra gli importi edittali deve essere non inferiore ad 1 su 6 e non superiore ad 1 su 10.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E’ consentito il pagamento in mis</w:t>
      </w:r>
      <w:r>
        <w:rPr>
          <w:color w:val="000000"/>
          <w:sz w:val="20"/>
          <w:szCs w:val="20"/>
        </w:rPr>
        <w:t xml:space="preserve">ura ridotta, ai sensi e nella misura prevista </w:t>
      </w:r>
      <w:r>
        <w:rPr>
          <w:color w:val="000000"/>
          <w:sz w:val="20"/>
          <w:szCs w:val="20"/>
          <w:highlight w:val="yellow"/>
        </w:rPr>
        <w:t xml:space="preserve">dal comma 1 </w:t>
      </w:r>
      <w:r>
        <w:rPr>
          <w:color w:val="000000"/>
          <w:sz w:val="20"/>
          <w:szCs w:val="20"/>
        </w:rPr>
        <w:t>dell’art. 16 della Legge 24 novembre 1981 n° 689, per tutte le violazioni previste al comma 1, nel rispetto dei limiti edittali indicati.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 xml:space="preserve">Ai sensi del secondo comma dell’articolo 16 della Legge 24 </w:t>
      </w:r>
      <w:r>
        <w:rPr>
          <w:color w:val="000000"/>
          <w:sz w:val="20"/>
          <w:szCs w:val="20"/>
          <w:highlight w:val="yellow"/>
        </w:rPr>
        <w:t xml:space="preserve">novembre 1981 n° 689 (così come sostituito dall’articolo 6 bis della </w:t>
      </w:r>
      <w:r>
        <w:rPr>
          <w:sz w:val="20"/>
          <w:szCs w:val="20"/>
          <w:highlight w:val="yellow"/>
        </w:rPr>
        <w:t xml:space="preserve">Legge </w:t>
      </w:r>
      <w:r>
        <w:rPr>
          <w:bCs/>
          <w:sz w:val="20"/>
          <w:szCs w:val="20"/>
          <w:highlight w:val="yellow"/>
        </w:rPr>
        <w:t xml:space="preserve">24 luglio 2008, n° 125 “Conversione in legge, con modificazioni, del decreto-legge 23 maggio 2008    n° 92, recante misure urgenti in materia di sicurezza pubblica” </w:t>
      </w:r>
      <w:r>
        <w:rPr>
          <w:color w:val="000000"/>
          <w:sz w:val="20"/>
          <w:szCs w:val="20"/>
          <w:highlight w:val="yellow"/>
        </w:rPr>
        <w:t>la Giunta Comuna</w:t>
      </w:r>
      <w:r>
        <w:rPr>
          <w:color w:val="000000"/>
          <w:sz w:val="20"/>
          <w:szCs w:val="20"/>
          <w:highlight w:val="yellow"/>
        </w:rPr>
        <w:t xml:space="preserve">le può (quindi non deve obbligatoriamente) stabilire preventivamente, </w:t>
      </w:r>
      <w:r>
        <w:rPr>
          <w:sz w:val="20"/>
          <w:szCs w:val="20"/>
          <w:highlight w:val="yellow"/>
        </w:rPr>
        <w:t>all'interno del limite edittale minimo e massimo della sanzione prevista, un diverso importo del pagamento in misura ridotta, in deroga alle disposizioni del primo comma del citato artic</w:t>
      </w:r>
      <w:r>
        <w:rPr>
          <w:sz w:val="20"/>
          <w:szCs w:val="20"/>
          <w:highlight w:val="yellow"/>
        </w:rPr>
        <w:t>olo 16.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è data la possibilità del pagamento diretto nelle mani dell’Agente accertatore.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4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(Soggetti accertatori)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 funzioni di accertamento degli illeciti amministrativi relativi a disposizioni di regolamenti o di ordinanze comunali sono </w:t>
      </w:r>
      <w:r>
        <w:rPr>
          <w:color w:val="000000"/>
          <w:sz w:val="20"/>
          <w:szCs w:val="20"/>
        </w:rPr>
        <w:t>svolte in via principale dalla Polizia Municipale, ferma restando la competenza di ufficiali e agenti di polizia giudiziaria a norma dell’articolo 13  della Legge 24 novembre 1981 n° 689.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sindaco può, con decreto motivato, abilitare altro personale dip</w:t>
      </w:r>
      <w:r>
        <w:rPr>
          <w:color w:val="000000"/>
          <w:sz w:val="20"/>
          <w:szCs w:val="20"/>
        </w:rPr>
        <w:t>endente dal comune all’esercizio delle funzioni                       d’accertamento di cui al comma 1 con riferimento a materie specificamente individuate nell’atto di nomina.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funzioni d’accertamento degli illeciti previsti dai regolamenti e dalle ord</w:t>
      </w:r>
      <w:r>
        <w:rPr>
          <w:color w:val="000000"/>
          <w:sz w:val="20"/>
          <w:szCs w:val="20"/>
        </w:rPr>
        <w:t>inanze comunali possono essere esercitate, per specifiche materie, nei casi e con i limiti espressamente previsti dalla Legge, da guardie volontarie, nonché da agenti giurati che ne abbiano facoltà ai sensi delle legislazione vigente.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soggetti di cui ai</w:t>
      </w:r>
      <w:r>
        <w:rPr>
          <w:color w:val="000000"/>
          <w:sz w:val="20"/>
          <w:szCs w:val="20"/>
        </w:rPr>
        <w:t xml:space="preserve"> commi 2 e 3 devono essere muniti di un apposito documento di riconoscimento che attesti l’abilitazione all’esercizio delle funzioni loro attribuite.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Resta ferma la competenza d’accertamento di altri soggetti espressamente abilitati da leggi speciali.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</w:t>
      </w:r>
      <w:r>
        <w:rPr>
          <w:b/>
          <w:bCs/>
          <w:i/>
          <w:iCs/>
          <w:color w:val="000000"/>
          <w:sz w:val="20"/>
          <w:szCs w:val="20"/>
        </w:rPr>
        <w:t>ticolo 5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lastRenderedPageBreak/>
        <w:t>(Processo verbale d’accertamento)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violazione di una norma di un regolamento o di un’ordinanza comunale per la quale sia prevista una sanzione amministrativa è accertata mediante processo verbale.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processo verbale di accertamento deve cont</w:t>
      </w:r>
      <w:r>
        <w:rPr>
          <w:color w:val="000000"/>
          <w:sz w:val="20"/>
          <w:szCs w:val="20"/>
        </w:rPr>
        <w:t>enere come elementi essenziali: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ab/>
        <w:t>l’indicazione della data, ora e luogo della verbalizzazione e del fatto contestato;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ab/>
        <w:t>cognome, nome e qualifica del verbalizzante;</w:t>
      </w:r>
    </w:p>
    <w:p w:rsidR="00000000" w:rsidRDefault="00772F86">
      <w:pPr>
        <w:keepLines/>
        <w:ind w:left="705" w:hanging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</w:t>
      </w:r>
      <w:r>
        <w:rPr>
          <w:color w:val="000000"/>
          <w:sz w:val="20"/>
          <w:szCs w:val="20"/>
        </w:rPr>
        <w:tab/>
        <w:t>le generalità complete dell’autore della violazione (nel caso sia individuata/bile un</w:t>
      </w:r>
      <w:r>
        <w:rPr>
          <w:color w:val="000000"/>
          <w:sz w:val="20"/>
          <w:szCs w:val="20"/>
        </w:rPr>
        <w:t>a persona tenuta alla sorveglianza dell’incapace ai sensi dell’articolo 2 della Legge 24 novembre 1981 n° 689 questa è considerata autore della violazione - è fatta salva, comunque, l’indicazione delle generalità complete di chi ha materialmente commesso i</w:t>
      </w:r>
      <w:r>
        <w:rPr>
          <w:color w:val="000000"/>
          <w:sz w:val="20"/>
          <w:szCs w:val="20"/>
        </w:rPr>
        <w:t>l fatto) e degli eventuali obbligati in solido ai sensi dell’articolo 6 della medesima Legge;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</w:t>
      </w:r>
      <w:r>
        <w:rPr>
          <w:color w:val="000000"/>
          <w:sz w:val="20"/>
          <w:szCs w:val="20"/>
        </w:rPr>
        <w:tab/>
        <w:t>la descrizione del fatto costituente la violazione;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e)</w:t>
      </w:r>
      <w:r>
        <w:rPr>
          <w:color w:val="000000"/>
          <w:sz w:val="20"/>
          <w:szCs w:val="20"/>
        </w:rPr>
        <w:tab/>
        <w:t>l’indicazione delle norme o dei precetti che si ritengono violati;</w:t>
      </w:r>
    </w:p>
    <w:p w:rsidR="00000000" w:rsidRDefault="00772F86">
      <w:pPr>
        <w:keepLines/>
        <w:ind w:left="705" w:hanging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f)</w:t>
      </w:r>
      <w:r>
        <w:rPr>
          <w:color w:val="000000"/>
          <w:sz w:val="20"/>
          <w:szCs w:val="20"/>
        </w:rPr>
        <w:tab/>
        <w:t>la dichiarazione dell’avvenuta con</w:t>
      </w:r>
      <w:r>
        <w:rPr>
          <w:color w:val="000000"/>
          <w:sz w:val="20"/>
          <w:szCs w:val="20"/>
        </w:rPr>
        <w:t>testazione della violazione o, in alternativa, i motivi della mancata contestazione;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g)</w:t>
      </w:r>
      <w:r>
        <w:rPr>
          <w:color w:val="000000"/>
          <w:sz w:val="20"/>
          <w:szCs w:val="20"/>
        </w:rPr>
        <w:tab/>
        <w:t>le eventuali dichiarazioni rese dall’autore della violazione;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h)</w:t>
      </w:r>
      <w:r>
        <w:rPr>
          <w:color w:val="000000"/>
          <w:sz w:val="20"/>
          <w:szCs w:val="20"/>
        </w:rPr>
        <w:tab/>
        <w:t>l’importo della sanzione amministrativa pecuniaria edittale;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i) </w:t>
      </w:r>
      <w:r>
        <w:rPr>
          <w:color w:val="000000"/>
          <w:sz w:val="20"/>
          <w:szCs w:val="20"/>
        </w:rPr>
        <w:tab/>
        <w:t>l’importo della sanzione in misura rid</w:t>
      </w:r>
      <w:r>
        <w:rPr>
          <w:color w:val="000000"/>
          <w:sz w:val="20"/>
          <w:szCs w:val="20"/>
        </w:rPr>
        <w:t>otta e le modalità di tale pagamento;</w:t>
      </w:r>
      <w:r>
        <w:rPr>
          <w:color w:val="000000"/>
          <w:sz w:val="20"/>
          <w:szCs w:val="20"/>
        </w:rPr>
        <w:tab/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l) </w:t>
      </w:r>
      <w:r>
        <w:rPr>
          <w:color w:val="000000"/>
          <w:sz w:val="20"/>
          <w:szCs w:val="20"/>
        </w:rPr>
        <w:tab/>
        <w:t>l’Autorità competente a ricevere eventuali scritti difensivi e/o a sentire il trasgressore;</w:t>
      </w: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m)</w:t>
      </w:r>
      <w:r>
        <w:rPr>
          <w:color w:val="000000"/>
        </w:rPr>
        <w:tab/>
        <w:t>la sottoscrizione del verbalizzante.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Qualora la violazione sia stata commessa da più persone, anche se legate dal vin</w:t>
      </w:r>
      <w:r>
        <w:rPr>
          <w:color w:val="000000"/>
          <w:sz w:val="20"/>
          <w:szCs w:val="20"/>
        </w:rPr>
        <w:t>colo della corresponsabilità (articolo 5 della Legge 24 novembre 1981 n° 689), ad ognuna di queste deve essere redatto un singolo processo verbale.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processo verbale è sottoscritto per ricevuta dal soggetto nei cui confronti è effettuata la contestazion</w:t>
      </w:r>
      <w:r>
        <w:rPr>
          <w:color w:val="000000"/>
          <w:sz w:val="20"/>
          <w:szCs w:val="20"/>
        </w:rPr>
        <w:t>e; qualora il trasgressore si rifiuti i sottoscrivere il verbale o di riceverne copia ne viene dato atto in  calce allo stesso.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6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(Rapporto all’Autorità competente)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Fatte salve le ipotesi di cui all’articolo 24 della Legge 24 novembre 1981 n° 6</w:t>
      </w:r>
      <w:r>
        <w:rPr>
          <w:color w:val="000000"/>
          <w:sz w:val="20"/>
          <w:szCs w:val="20"/>
        </w:rPr>
        <w:t>89, qualora non risulti effettuato il pagamento in misura ridotta previsto dall’articolo 16 della Legge citata, l’ufficio, il comando o l’ente da cui dipende il verbalizzante trasmette al comune: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ab/>
        <w:t>l’originale del processo verbale d’accertamento;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ab/>
        <w:t>la p</w:t>
      </w:r>
      <w:r>
        <w:rPr>
          <w:color w:val="000000"/>
          <w:sz w:val="20"/>
          <w:szCs w:val="20"/>
        </w:rPr>
        <w:t>rova dell’avvenuta contestazione o notificazione;</w:t>
      </w:r>
    </w:p>
    <w:p w:rsidR="00000000" w:rsidRDefault="00772F86">
      <w:pPr>
        <w:keepLines/>
        <w:ind w:left="705" w:hanging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</w:t>
      </w:r>
      <w:r>
        <w:rPr>
          <w:color w:val="000000"/>
          <w:sz w:val="20"/>
          <w:szCs w:val="20"/>
        </w:rPr>
        <w:tab/>
        <w:t xml:space="preserve">un sintetico rapporto a completamento del processo verbale d’accertamento, possibilmente integrato con gli elementi previsti dall’articolo 11 della Legge 24 novembre 1981 n° 689; </w:t>
      </w:r>
    </w:p>
    <w:p w:rsidR="00000000" w:rsidRDefault="00772F86">
      <w:pPr>
        <w:keepLines/>
        <w:ind w:left="705" w:hanging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</w:t>
      </w:r>
      <w:r>
        <w:rPr>
          <w:color w:val="000000"/>
          <w:sz w:val="20"/>
          <w:szCs w:val="20"/>
        </w:rPr>
        <w:tab/>
        <w:t>le proprie osservazi</w:t>
      </w:r>
      <w:r>
        <w:rPr>
          <w:color w:val="000000"/>
          <w:sz w:val="20"/>
          <w:szCs w:val="20"/>
        </w:rPr>
        <w:t>oni in ordine agli scritti difensivi e/o al verbale di audizione che, se presentati/redatti, devono essere trasmessi dall’Autorità Competente, individuata nell’articolo 7, allo stesso per conoscenza.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7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(Competenza ad emettere le ordinanze ingiun</w:t>
      </w:r>
      <w:r>
        <w:rPr>
          <w:b/>
          <w:bCs/>
          <w:i/>
          <w:iCs/>
          <w:color w:val="000000"/>
          <w:sz w:val="20"/>
          <w:szCs w:val="20"/>
        </w:rPr>
        <w:t>zione o di archiviazione 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L'emissione dell'ordinanza ingiunzione di pagamento o dell'ordinanza d’archiviazione degli atti conseguenti alla verbalizzazione di violazioni riguardanti i regolamenti e le ordinanze comunali compete, con riferimento all’107 de</w:t>
      </w:r>
      <w:r>
        <w:rPr>
          <w:color w:val="000000"/>
          <w:sz w:val="20"/>
          <w:szCs w:val="20"/>
        </w:rPr>
        <w:t>l            D. Lgs. 18 agosto 2000 n. 267, al dirigente/responsabile di settore che ha emesso l’ordinanza violata ovvero, nel caso di regolamenti comunali, al dirigente/responsabile di settore a cui compete il rilascio del titolo abilitante l’attività san</w:t>
      </w:r>
      <w:r>
        <w:rPr>
          <w:color w:val="000000"/>
          <w:sz w:val="20"/>
          <w:szCs w:val="20"/>
        </w:rPr>
        <w:t>zionata, ovvero in via residuale, se non altrimenti determinato/determinabile o nel caso di ordinanze emesse direttamente dal sindaco, al segretario comunale.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ogni caso non potrà essere identificato, quale Autorità competente ad emettere le ordinanze i</w:t>
      </w:r>
      <w:r>
        <w:rPr>
          <w:color w:val="000000"/>
          <w:sz w:val="20"/>
          <w:szCs w:val="20"/>
        </w:rPr>
        <w:t>ngiunzione o di archiviazione, il Comandante della Polizia Municipale, per salvaguardare la terzietà degli organi giudicanti da quelli che accertano.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8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lastRenderedPageBreak/>
        <w:t>( Termini per l'emissione delle ordinanze di cui alla Legge 24 novembre 1981 n° 689 )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L’ordi</w:t>
      </w:r>
      <w:r>
        <w:rPr>
          <w:color w:val="000000"/>
          <w:sz w:val="20"/>
          <w:szCs w:val="20"/>
        </w:rPr>
        <w:t xml:space="preserve">nanza ingiunzione, in via generale, deve essere emessa entro il termine di ventiquattro mesi dalla data di ricevimento del rapporto previsto dall’articolo 6. 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ogni caso il provvedimento di cui al comma 1 deve essere adottato entro 36 mesi dalla data di</w:t>
      </w:r>
      <w:r>
        <w:rPr>
          <w:color w:val="000000"/>
          <w:sz w:val="20"/>
          <w:szCs w:val="20"/>
        </w:rPr>
        <w:t xml:space="preserve"> contestazione e/o notificazione del verbale d'accertamento, qualora questo non avvenga il verbale di accertamento della violazione decade di diritto.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Qualora il trasgressore, un corresponsabile o un obbligato in solido faccia pervenire scritti difensivi </w:t>
      </w:r>
      <w:r>
        <w:rPr>
          <w:color w:val="000000"/>
          <w:sz w:val="20"/>
          <w:szCs w:val="20"/>
        </w:rPr>
        <w:t>l'ordinanza ingiunzione di pagamento o l'ordinanza di archiviazione deve essere emessa entro 12 mesi dalla data di spedizione o deposito degli stessi.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 caso in cui con lo scritto difensivo, o con separato atto, sia richiesta l'audizione personale, ques</w:t>
      </w:r>
      <w:r>
        <w:rPr>
          <w:color w:val="000000"/>
          <w:sz w:val="20"/>
          <w:szCs w:val="20"/>
        </w:rPr>
        <w:t>ta dovrà essere effettuata, previa formale convocazione, entro 3 mesi dalla data di spedizione o deposito della richiesta.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Gli scritti difensivi, ovvero la richiesta di audizione, devono pervenire al Comune entro 30 giorni dalla contestazione o notificazi</w:t>
      </w:r>
      <w:r>
        <w:rPr>
          <w:color w:val="000000"/>
        </w:rPr>
        <w:t>one della violazione.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Nelle ipotesi di cui al precedente comma 5 il relativo provvedimento deve essere adottato entro il termine di 6 mesi dalla data dell'avvenuta audizione, ovvero, nel caso di rinvii o repliche, dell'ultima audizione avvenuta: in ogni c</w:t>
      </w:r>
      <w:r>
        <w:rPr>
          <w:color w:val="000000"/>
          <w:sz w:val="20"/>
          <w:szCs w:val="20"/>
        </w:rPr>
        <w:t>aso non superando il limite imposto al comma 2.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richiesta d’acquisizione, per motivi istruttori, di documenti o pareri, sospende il procedimento, ma non può comportare un superamento del limite imposto al comma 2.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 xml:space="preserve">Il pagamento in misura ridotta rende </w:t>
      </w:r>
      <w:r>
        <w:rPr>
          <w:color w:val="000000"/>
        </w:rPr>
        <w:t>non efficace la presentazione ( ante o post ) di scritti difensivi o la richiesta ( ante o post ) di audizione personale, sia effettuata direttamente dall’autore della violazione che da uno degli obbligati in solido.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9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(Determinazione dell’impor</w:t>
      </w:r>
      <w:r>
        <w:rPr>
          <w:b/>
          <w:bCs/>
          <w:i/>
          <w:iCs/>
          <w:color w:val="000000"/>
          <w:sz w:val="20"/>
          <w:szCs w:val="20"/>
        </w:rPr>
        <w:t>to delle ordinanze ingiunzioni)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In sede d’irrogazione della sanzione l'Autorità amministrativa competente, come individuata dal precedente articolo 7, se ritiene fondato l'accertamento ordina, con ordinanza ingiunzione motivata ai sensi dell’art. 11 della</w:t>
      </w:r>
      <w:r>
        <w:rPr>
          <w:color w:val="000000"/>
        </w:rPr>
        <w:t xml:space="preserve"> legge n. 689/1981, la quantificazione della somma di denaro dovuta per la violazione entro i limiti edittali previsti.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L’Autorità che applica la sanzione pecuniaria può disporre, su richiesta dell’interessato che si trovi in condizioni economiche disagia</w:t>
      </w:r>
      <w:r>
        <w:rPr>
          <w:color w:val="000000"/>
          <w:sz w:val="20"/>
          <w:szCs w:val="20"/>
        </w:rPr>
        <w:t>te, che la sanzione medesima venga pagata a rate con le modalità previste nella Legge 24 novembre 1981 n° 689, questo sia relativamente alla somma di denaro prevista dall’ordinanza ingiunzione che in presenza del solo processo verbale di accertamento, cioè</w:t>
      </w:r>
      <w:r>
        <w:rPr>
          <w:color w:val="000000"/>
          <w:sz w:val="20"/>
          <w:szCs w:val="20"/>
        </w:rPr>
        <w:t xml:space="preserve"> rateizzando l’importo del pagamento in misura ridotta.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richiesta di pagamento in modo rateizzato è da effettuarsi entro </w:t>
      </w:r>
      <w:r>
        <w:rPr>
          <w:color w:val="000000"/>
          <w:sz w:val="20"/>
          <w:szCs w:val="20"/>
          <w:highlight w:val="yellow"/>
        </w:rPr>
        <w:t>30</w:t>
      </w:r>
      <w:r>
        <w:rPr>
          <w:color w:val="000000"/>
          <w:sz w:val="20"/>
          <w:szCs w:val="20"/>
        </w:rPr>
        <w:t xml:space="preserve"> giorni dalla contestazione/notificazione del processo verbale di accertamento, ovvero dalla notifica dell’ordinanza ingiunzione.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 caso di richiesta di pagamento in modo rateizzato i termini di pagamento s’intendono sospesi fino all’emissione dell’atto di accoglimento o diniego dello stesso.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autoSpaceDE/>
        <w:autoSpaceDN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E’ onere del soggetto richiedente la rateizzazione dimostrare il suo stato di disagio e</w:t>
      </w:r>
      <w:r>
        <w:rPr>
          <w:color w:val="000000"/>
          <w:sz w:val="20"/>
          <w:szCs w:val="20"/>
        </w:rPr>
        <w:t xml:space="preserve">conomico. 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L’interessato che ha richiesto il pagamento rateale della sanzione si intende in condizioni economiche disagiate quando il suo valore I.S.E.E. </w:t>
      </w:r>
      <w:r>
        <w:rPr>
          <w:color w:val="000000"/>
          <w:sz w:val="20"/>
          <w:szCs w:val="20"/>
          <w:highlight w:val="yellow"/>
        </w:rPr>
        <w:t>(è a carico del richiedente la rateizzazione produrre un modello I.S.E.E correttamente compilato in o</w:t>
      </w:r>
      <w:r>
        <w:rPr>
          <w:color w:val="000000"/>
          <w:sz w:val="20"/>
          <w:szCs w:val="20"/>
          <w:highlight w:val="yellow"/>
        </w:rPr>
        <w:t>gni sua parte)</w:t>
      </w:r>
      <w:r>
        <w:rPr>
          <w:color w:val="000000"/>
          <w:sz w:val="20"/>
          <w:szCs w:val="20"/>
        </w:rPr>
        <w:t xml:space="preserve"> è inferiore a 15.000,00 e la sanzione sia pari o superiore allo stesso diviso per 20.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10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(Applicazione delle sanzioni amministrative accessorie)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L'applicazione delle sanzioni amministrative accessorie del sequestro e della confis</w:t>
      </w:r>
      <w:r>
        <w:rPr>
          <w:color w:val="000000"/>
          <w:sz w:val="20"/>
          <w:szCs w:val="20"/>
        </w:rPr>
        <w:t>ca, quando prevista, è effettuata a norma della Legge 24 novembre 1981 n° 689.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11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(Disposizioni transitorie e finali)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disposizioni di regolamenti comunali, ordinanze sindacali, dirigenziali o di responsabili di settore che prevedevano sanzio</w:t>
      </w:r>
      <w:r>
        <w:rPr>
          <w:color w:val="000000"/>
          <w:sz w:val="20"/>
          <w:szCs w:val="20"/>
        </w:rPr>
        <w:t>ni amministrative che facevano riferimento agli articoli 106 e seguenti del R.D. 3 marzo 1934 n° 383 devono intendersi abrogate e sostituite, in via generale, dalle corrispondenti disposizioni del presente regolamento.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 l’infrazione commessa abbia r</w:t>
      </w:r>
      <w:r>
        <w:rPr>
          <w:color w:val="000000"/>
          <w:sz w:val="20"/>
          <w:szCs w:val="20"/>
        </w:rPr>
        <w:t>ecato danni a beni di proprietà comunale l’eventuale pagamento della sanzione in misura ridotta, ovvero in misura “ordinaria” a seguito di emissione di ordinanza ingiunzione, non costituisce risarcimento del danno, che sarà valutato a norma delle disposizi</w:t>
      </w:r>
      <w:r>
        <w:rPr>
          <w:color w:val="000000"/>
          <w:sz w:val="20"/>
          <w:szCs w:val="20"/>
        </w:rPr>
        <w:t>oni vigenti in materia.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</w:rPr>
        <w:t>I regolamenti comunali che prevedono sanzioni amministrative entrano in vigore e si presumono conosciuti, ai sensi e per gli effetti dell’articolo 75 dello Statuto Comunale, il giorno successivo all’ultimo di ripubblicazione, salvo</w:t>
      </w:r>
      <w:r>
        <w:rPr>
          <w:color w:val="000000"/>
          <w:sz w:val="20"/>
          <w:szCs w:val="20"/>
          <w:highlight w:val="lightGray"/>
        </w:rPr>
        <w:t xml:space="preserve"> diversa esplicita disposizione contenuta nell’atto.</w:t>
      </w:r>
      <w:r>
        <w:rPr>
          <w:color w:val="000000"/>
          <w:sz w:val="20"/>
          <w:szCs w:val="20"/>
        </w:rPr>
        <w:t xml:space="preserve"> 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cyan"/>
        </w:rPr>
        <w:t xml:space="preserve">Le ordinanze comunali che prevedono sanzioni amministrative entrano in vigore e si presumono conosciute, ai sensi e per gli effetti dell’articolo 76 dello Statuto Comunale, il giorno stesso della loro </w:t>
      </w:r>
      <w:r>
        <w:rPr>
          <w:color w:val="000000"/>
          <w:sz w:val="20"/>
          <w:szCs w:val="20"/>
          <w:highlight w:val="cyan"/>
        </w:rPr>
        <w:t>pubblicazione all’albo pretorio, ovvero il giorno stesso dell’avvenuta notifica all’interessato, salvo diversa esplicita disposizione contenuta nell’atto.</w:t>
      </w:r>
      <w:r>
        <w:rPr>
          <w:color w:val="000000"/>
          <w:sz w:val="20"/>
          <w:szCs w:val="20"/>
        </w:rPr>
        <w:t xml:space="preserve"> 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presente regolamento è norma d’indirizzo per l’individuazione dei procedimenti sanzionatori nei </w:t>
      </w:r>
      <w:r>
        <w:rPr>
          <w:color w:val="000000"/>
          <w:sz w:val="20"/>
          <w:szCs w:val="20"/>
        </w:rPr>
        <w:t>nuovi regolamenti comunali.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Per i regolamenti comunali e le ordinanze comunali adottati prima dell’entrata in vigore del presente regolamento gli importi edittali rimangono in essere nella misura in cui sono ricompresi tra un valore minimo di euro 25,00 (</w:t>
      </w:r>
      <w:r>
        <w:rPr>
          <w:color w:val="000000"/>
        </w:rPr>
        <w:t>venticinque/00) e massimo di euro 500,00 (cinquecento/00) od euro 10.000,00 (diecimila/00) se in materia di competenza legislativa regionale, seguendo il principio del troncamento all’unità; qualora, invece, detti importi siano inferiori, nel minimo, al mi</w:t>
      </w:r>
      <w:r>
        <w:rPr>
          <w:color w:val="000000"/>
        </w:rPr>
        <w:t>nimo edittale individuato, lo stesso è rideterminato in euro 25,00 (venticinque/00) mentre se sono superiori, nel massimo, al massimo edittale, lo stesso è rideterminato in euro 500,00 (cinquecento/00), od euro 10.000,00 (diecimila/00) se in materia di com</w:t>
      </w:r>
      <w:r>
        <w:rPr>
          <w:color w:val="000000"/>
        </w:rPr>
        <w:t>petenza legislativa regionale - le rideterminazioni effettuate ai sensi del presente comma sono in deroga al principio di proporzionalità indicato al comma 3 dell’articolo 3.</w:t>
      </w:r>
    </w:p>
    <w:p w:rsidR="00000000" w:rsidRDefault="00772F86">
      <w:pPr>
        <w:pStyle w:val="Corpotesto"/>
        <w:rPr>
          <w:color w:val="00000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Per i regolamenti comunali e le ordinanze comunali adottate prima dell’entrata i</w:t>
      </w:r>
      <w:r>
        <w:rPr>
          <w:color w:val="000000"/>
        </w:rPr>
        <w:t>n vigore del presente regolamento ove la sanzione amministrativa originaria era fissata in misura unica la stessa è considerata come il minimo edittale e segue le regole indicate nel comma precedente, fissando quale massimo il sestuplo della nuova sanzione</w:t>
      </w:r>
      <w:r>
        <w:rPr>
          <w:color w:val="000000"/>
        </w:rPr>
        <w:t xml:space="preserve"> minima – in ogni caso l’importo massimo dovrà essere inferiore ad euro 500,00 (cinquecento/00), od euro 10.000,00 (diecimila) se in materia di competenza legislativa regionale - le rideterminazioni effettuate ai sensi del presente comma sono in deroga al </w:t>
      </w:r>
      <w:r>
        <w:rPr>
          <w:color w:val="000000"/>
        </w:rPr>
        <w:t>principio di proporzionalità indicato al comma 3 dell’articolo 3.</w:t>
      </w:r>
    </w:p>
    <w:p w:rsidR="00000000" w:rsidRDefault="00772F86">
      <w:pPr>
        <w:pStyle w:val="Corpotesto"/>
        <w:rPr>
          <w:color w:val="00000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Per i regolamenti comunali e le ordinanze comunali che disciplinano materie attribuite ai Comuni da Leggi dello Stato, in assenza completa dell’individuazione dei limiti edittali della sanz</w:t>
      </w:r>
      <w:r>
        <w:rPr>
          <w:color w:val="000000"/>
        </w:rPr>
        <w:t xml:space="preserve">ione si applica una sanzione amministrativa pecuniaria da euro 25,00 (venticinque/00) ad euro 150,00 (centocinquanta/00). </w:t>
      </w:r>
    </w:p>
    <w:p w:rsidR="00000000" w:rsidRDefault="00772F86">
      <w:pPr>
        <w:pStyle w:val="Corpotesto"/>
        <w:rPr>
          <w:color w:val="00000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Per i regolamenti comunali e le ordinanze comunali che disciplinano materie di competenza legislativa regionale, in assenza completa</w:t>
      </w:r>
      <w:r>
        <w:rPr>
          <w:color w:val="000000"/>
        </w:rPr>
        <w:t xml:space="preserve"> dell’individuazione dei limiti edittali della sanzione si applica una sanzione amministrativa pecuniaria da euro 25,00 (venticinque/00) ad euro 500,00 (cinquecento/00), questo ai sensi del comma 4 dell’articolo 8 della Legge Regionale </w:t>
      </w:r>
      <w:r>
        <w:rPr>
          <w:color w:val="000000"/>
          <w:szCs w:val="22"/>
        </w:rPr>
        <w:t xml:space="preserve">24 marzo 2004 n° 6. </w:t>
      </w:r>
      <w:r>
        <w:rPr>
          <w:color w:val="000000"/>
          <w:szCs w:val="22"/>
        </w:rPr>
        <w:t xml:space="preserve"> </w:t>
      </w:r>
    </w:p>
    <w:p w:rsidR="00000000" w:rsidRDefault="00772F86">
      <w:pPr>
        <w:pStyle w:val="Corpotesto"/>
        <w:rPr>
          <w:color w:val="000000"/>
        </w:rPr>
      </w:pPr>
    </w:p>
    <w:p w:rsidR="00000000" w:rsidRDefault="00772F86">
      <w:pPr>
        <w:pStyle w:val="Corpotesto"/>
        <w:rPr>
          <w:color w:val="000000"/>
        </w:rPr>
      </w:pPr>
      <w:r>
        <w:rPr>
          <w:color w:val="000000"/>
        </w:rPr>
        <w:t>Per quanto non espressamente disposto dal presente regolamento si rinvia alla Legge 24 novembre 1981 n° 689 e alla Legge Regionale Emilia Romagna 28 aprile 1984 n° 21.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Articolo 12</w:t>
      </w: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00000" w:rsidRDefault="00772F86">
      <w:pPr>
        <w:keepLines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(Entrata in vigore)</w:t>
      </w:r>
    </w:p>
    <w:p w:rsidR="00000000" w:rsidRDefault="00772F86">
      <w:pPr>
        <w:keepLines/>
        <w:jc w:val="both"/>
        <w:rPr>
          <w:color w:val="000000"/>
          <w:sz w:val="20"/>
          <w:szCs w:val="20"/>
        </w:rPr>
      </w:pPr>
    </w:p>
    <w:p w:rsidR="00772F86" w:rsidRDefault="00772F86">
      <w:pPr>
        <w:keepLine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lightGray"/>
        </w:rPr>
        <w:t>Il presente regolamento entra in vigore decorsi qu</w:t>
      </w:r>
      <w:r>
        <w:rPr>
          <w:color w:val="000000"/>
          <w:sz w:val="20"/>
          <w:szCs w:val="20"/>
          <w:highlight w:val="lightGray"/>
        </w:rPr>
        <w:t>indici giorni dalla data di ripubblicazione all’albo pretorio da effettuarsi dopo che la deliberazione di approvazione di consiglio comunale è divenuta esecutiva, questo ai sensi dell’art. 75 dello Statuto Comunale.</w:t>
      </w:r>
    </w:p>
    <w:sectPr w:rsidR="00772F86">
      <w:footerReference w:type="default" r:id="rId8"/>
      <w:pgSz w:w="11906" w:h="16838" w:code="9"/>
      <w:pgMar w:top="1418" w:right="1134" w:bottom="1134" w:left="1134" w:header="709" w:footer="9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86" w:rsidRDefault="00772F86">
      <w:r>
        <w:separator/>
      </w:r>
    </w:p>
  </w:endnote>
  <w:endnote w:type="continuationSeparator" w:id="0">
    <w:p w:rsidR="00772F86" w:rsidRDefault="0077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ccato222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ypoUprigh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F86">
    <w:pPr>
      <w:pStyle w:val="Pidipagina"/>
      <w:rPr>
        <w:sz w:val="16"/>
        <w:szCs w:val="16"/>
      </w:rPr>
    </w:pPr>
    <w:r>
      <w:rPr>
        <w:sz w:val="16"/>
        <w:szCs w:val="16"/>
      </w:rPr>
      <w:t xml:space="preserve">LF/lf </w:t>
    </w: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65F5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665F57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REGOLAMENTO DISCIPLINANTE ACCERT E APPL SANZIONI PER VIOLAZIONI AI REGOLAMENTI.DOC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86" w:rsidRDefault="00772F86">
      <w:r>
        <w:separator/>
      </w:r>
    </w:p>
  </w:footnote>
  <w:footnote w:type="continuationSeparator" w:id="0">
    <w:p w:rsidR="00772F86" w:rsidRDefault="0077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4BF1"/>
    <w:multiLevelType w:val="hybridMultilevel"/>
    <w:tmpl w:val="54128936"/>
    <w:lvl w:ilvl="0" w:tplc="0E205B6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u w:color="800000"/>
      </w:rPr>
    </w:lvl>
    <w:lvl w:ilvl="1" w:tplc="D5408D90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u w:color="8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57"/>
    <w:rsid w:val="00665F57"/>
    <w:rsid w:val="007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qFormat/>
    <w:pPr>
      <w:keepNext/>
      <w:autoSpaceDE/>
      <w:autoSpaceDN/>
      <w:jc w:val="center"/>
      <w:outlineLvl w:val="0"/>
    </w:pPr>
    <w:rPr>
      <w:rFonts w:eastAsia="Arial Unicode MS"/>
      <w:b/>
      <w:bCs/>
      <w:kern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NormaleWeb">
    <w:name w:val="Normal (Web)"/>
    <w:basedOn w:val="Normale"/>
    <w:semiHidden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Corpotesto">
    <w:name w:val="Body Text"/>
    <w:basedOn w:val="Normale"/>
    <w:semiHidden/>
    <w:pPr>
      <w:keepLines/>
      <w:jc w:val="both"/>
    </w:pPr>
    <w:rPr>
      <w:color w:val="0000FF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qFormat/>
    <w:pPr>
      <w:keepNext/>
      <w:autoSpaceDE/>
      <w:autoSpaceDN/>
      <w:jc w:val="center"/>
      <w:outlineLvl w:val="0"/>
    </w:pPr>
    <w:rPr>
      <w:rFonts w:eastAsia="Arial Unicode MS"/>
      <w:b/>
      <w:bCs/>
      <w:kern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NormaleWeb">
    <w:name w:val="Normal (Web)"/>
    <w:basedOn w:val="Normale"/>
    <w:semiHidden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Corpotesto">
    <w:name w:val="Body Text"/>
    <w:basedOn w:val="Normale"/>
    <w:semiHidden/>
    <w:pPr>
      <w:keepLines/>
      <w:jc w:val="both"/>
    </w:pPr>
    <w:rPr>
      <w:color w:val="0000FF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disciplinante l’ accertamento e l’ applicazione delle sanzioni amministrative per le violazione ai Regolamenti Com</vt:lpstr>
    </vt:vector>
  </TitlesOfParts>
  <Company>..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disciplinante l’ accertamento e l’ applicazione delle sanzioni amministrative per le violazione ai Regolamenti Com</dc:title>
  <dc:creator>winxp</dc:creator>
  <cp:lastModifiedBy>stage</cp:lastModifiedBy>
  <cp:revision>2</cp:revision>
  <cp:lastPrinted>2008-06-09T14:43:00Z</cp:lastPrinted>
  <dcterms:created xsi:type="dcterms:W3CDTF">2017-03-13T15:37:00Z</dcterms:created>
  <dcterms:modified xsi:type="dcterms:W3CDTF">2017-03-13T15:37:00Z</dcterms:modified>
</cp:coreProperties>
</file>